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0767F">
        <w:rPr>
          <w:rFonts w:ascii="Arial" w:hAnsi="Arial" w:cs="Arial"/>
          <w:sz w:val="16"/>
        </w:rPr>
        <w:t>18</w:t>
      </w:r>
    </w:p>
    <w:tbl>
      <w:tblPr>
        <w:tblW w:w="11058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"/>
        <w:gridCol w:w="1341"/>
        <w:gridCol w:w="308"/>
        <w:gridCol w:w="225"/>
        <w:gridCol w:w="2340"/>
        <w:gridCol w:w="1049"/>
        <w:gridCol w:w="657"/>
        <w:gridCol w:w="524"/>
        <w:gridCol w:w="390"/>
        <w:gridCol w:w="924"/>
        <w:gridCol w:w="180"/>
        <w:gridCol w:w="128"/>
        <w:gridCol w:w="477"/>
        <w:gridCol w:w="818"/>
        <w:gridCol w:w="268"/>
        <w:gridCol w:w="1394"/>
      </w:tblGrid>
      <w:tr w:rsidR="005939DF" w:rsidRPr="004201E6" w:rsidTr="001676E8">
        <w:trPr>
          <w:gridBefore w:val="1"/>
          <w:wBefore w:w="35" w:type="dxa"/>
          <w:trHeight w:val="360"/>
        </w:trPr>
        <w:tc>
          <w:tcPr>
            <w:tcW w:w="1874" w:type="dxa"/>
            <w:gridSpan w:val="3"/>
            <w:vAlign w:val="center"/>
          </w:tcPr>
          <w:p w:rsidR="00AA448E" w:rsidRPr="004201E6" w:rsidRDefault="00FD7A00" w:rsidP="004201E6">
            <w:pPr>
              <w:jc w:val="center"/>
              <w:rPr>
                <w:rFonts w:ascii="Arial" w:hAnsi="Arial" w:cs="Arial"/>
                <w:b/>
              </w:rPr>
            </w:pPr>
            <w:r w:rsidRPr="00FD7A00">
              <w:rPr>
                <w:rFonts w:ascii="Arial" w:hAnsi="Arial" w:cs="Arial"/>
                <w:b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0pt;height:62.25pt;visibility:visible">
                  <v:imagedata r:id="rId7" o:title=""/>
                </v:shape>
              </w:pict>
            </w:r>
          </w:p>
        </w:tc>
        <w:tc>
          <w:tcPr>
            <w:tcW w:w="6669" w:type="dxa"/>
            <w:gridSpan w:val="9"/>
            <w:tcBorders>
              <w:right w:val="single" w:sz="4" w:space="0" w:color="auto"/>
            </w:tcBorders>
          </w:tcPr>
          <w:p w:rsidR="00AA448E" w:rsidRPr="004201E6" w:rsidRDefault="00E0767F" w:rsidP="00E0767F">
            <w:pPr>
              <w:spacing w:before="120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 PENALTY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17F21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1676E8" w:rsidRDefault="001676E8" w:rsidP="001676E8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  <w:r w:rsidRPr="00467BB2">
              <w:rPr>
                <w:rFonts w:ascii="Arial" w:hAnsi="Arial" w:cs="Arial"/>
                <w:i/>
              </w:rPr>
              <w:t xml:space="preserve"> </w:t>
            </w:r>
          </w:p>
          <w:p w:rsidR="00AA448E" w:rsidRPr="00C00A0C" w:rsidRDefault="001676E8" w:rsidP="001676E8">
            <w:pPr>
              <w:rPr>
                <w:rFonts w:ascii="Arial" w:hAnsi="Arial" w:cs="Arial"/>
                <w:sz w:val="20"/>
              </w:rPr>
            </w:pPr>
            <w:r w:rsidRPr="00467BB2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>s</w:t>
            </w:r>
            <w:r w:rsidRPr="00467BB2">
              <w:rPr>
                <w:rFonts w:ascii="Arial" w:hAnsi="Arial" w:cs="Arial"/>
                <w:sz w:val="20"/>
              </w:rPr>
              <w:t xml:space="preserve"> </w:t>
            </w:r>
            <w:r w:rsidRPr="0082353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7C and 62C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644BBE" w:rsidRDefault="00DA40A3" w:rsidP="00E0767F">
            <w:pPr>
              <w:spacing w:before="1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Posted:</w:t>
            </w:r>
          </w:p>
        </w:tc>
      </w:tr>
      <w:tr w:rsidR="00AA448E" w:rsidRPr="004201E6" w:rsidTr="001676E8">
        <w:trPr>
          <w:trHeight w:hRule="exact" w:val="284"/>
        </w:trPr>
        <w:tc>
          <w:tcPr>
            <w:tcW w:w="11058" w:type="dxa"/>
            <w:gridSpan w:val="1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87446" w:rsidRPr="004201E6" w:rsidTr="001676E8">
        <w:trPr>
          <w:gridBefore w:val="1"/>
          <w:wBefore w:w="35" w:type="dxa"/>
          <w:trHeight w:val="357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493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0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3085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87446" w:rsidRPr="00B70E4D" w:rsidRDefault="00A87446" w:rsidP="00237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7446" w:rsidRPr="004201E6" w:rsidTr="001676E8">
        <w:trPr>
          <w:gridBefore w:val="1"/>
          <w:wBefore w:w="35" w:type="dxa"/>
          <w:trHeight w:val="357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7446" w:rsidRPr="004201E6" w:rsidTr="001676E8">
        <w:trPr>
          <w:gridBefore w:val="1"/>
          <w:wBefore w:w="35" w:type="dxa"/>
          <w:trHeight w:val="17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A87446" w:rsidRPr="004201E6" w:rsidTr="001676E8">
        <w:trPr>
          <w:gridBefore w:val="1"/>
          <w:wBefore w:w="35" w:type="dxa"/>
          <w:trHeight w:val="36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7446" w:rsidRPr="004201E6" w:rsidTr="001676E8">
        <w:trPr>
          <w:gridBefore w:val="1"/>
          <w:wBefore w:w="35" w:type="dxa"/>
          <w:trHeight w:val="170"/>
        </w:trPr>
        <w:tc>
          <w:tcPr>
            <w:tcW w:w="13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7446" w:rsidRPr="00B70E4D" w:rsidRDefault="00A87446" w:rsidP="002377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9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87446" w:rsidRPr="004201E6" w:rsidTr="001676E8">
        <w:trPr>
          <w:gridBefore w:val="1"/>
          <w:wBefore w:w="35" w:type="dxa"/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7446" w:rsidRPr="00A87446" w:rsidRDefault="00A87446" w:rsidP="001676E8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A87446">
              <w:rPr>
                <w:rFonts w:ascii="Arial" w:hAnsi="Arial" w:cs="Arial"/>
                <w:b/>
                <w:sz w:val="22"/>
              </w:rPr>
              <w:t>Defendant</w:t>
            </w:r>
          </w:p>
        </w:tc>
      </w:tr>
      <w:tr w:rsidR="002A21E9" w:rsidRPr="004201E6" w:rsidTr="001676E8">
        <w:trPr>
          <w:gridBefore w:val="1"/>
          <w:wBefore w:w="35" w:type="dxa"/>
          <w:trHeight w:val="567"/>
        </w:trPr>
        <w:tc>
          <w:tcPr>
            <w:tcW w:w="134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21E9" w:rsidRPr="00B70E4D" w:rsidRDefault="002A21E9" w:rsidP="00341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9682" w:type="dxa"/>
            <w:gridSpan w:val="1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A21E9" w:rsidRPr="00B70E4D" w:rsidRDefault="00217F21" w:rsidP="00341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A21E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A21E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7446" w:rsidRPr="004201E6" w:rsidTr="001676E8">
        <w:trPr>
          <w:gridBefore w:val="1"/>
          <w:wBefore w:w="35" w:type="dxa"/>
          <w:trHeight w:val="357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7446" w:rsidRPr="004201E6" w:rsidTr="001676E8">
        <w:trPr>
          <w:gridBefore w:val="1"/>
          <w:wBefore w:w="35" w:type="dxa"/>
          <w:trHeight w:val="17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7446" w:rsidRPr="00B70E4D" w:rsidRDefault="00A87446" w:rsidP="00237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A87446" w:rsidRPr="004201E6" w:rsidTr="001676E8">
        <w:trPr>
          <w:gridBefore w:val="1"/>
          <w:wBefore w:w="35" w:type="dxa"/>
          <w:trHeight w:val="36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A87446" w:rsidRPr="00B70E4D" w:rsidRDefault="00A87446" w:rsidP="0023772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7446" w:rsidRPr="004201E6" w:rsidTr="001676E8">
        <w:trPr>
          <w:gridBefore w:val="1"/>
          <w:wBefore w:w="35" w:type="dxa"/>
          <w:trHeight w:val="170"/>
        </w:trPr>
        <w:tc>
          <w:tcPr>
            <w:tcW w:w="13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7446" w:rsidRPr="00B70E4D" w:rsidRDefault="00A87446" w:rsidP="002377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9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87446" w:rsidRPr="00FE691E" w:rsidRDefault="00A87446" w:rsidP="0023772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676E8">
        <w:trPr>
          <w:gridBefore w:val="1"/>
          <w:wBefore w:w="35" w:type="dxa"/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E0767F" w:rsidRDefault="00E0767F" w:rsidP="00C3078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0767F">
              <w:rPr>
                <w:rFonts w:ascii="Arial" w:hAnsi="Arial" w:cs="Arial"/>
                <w:b/>
                <w:sz w:val="20"/>
              </w:rPr>
              <w:t>In your absence</w:t>
            </w:r>
            <w:r>
              <w:rPr>
                <w:rFonts w:ascii="Arial" w:hAnsi="Arial" w:cs="Arial"/>
                <w:b/>
                <w:sz w:val="20"/>
              </w:rPr>
              <w:t xml:space="preserve"> you have been convicted of the following offence(s):</w:t>
            </w:r>
          </w:p>
        </w:tc>
      </w:tr>
      <w:tr w:rsidR="008810B0" w:rsidRPr="00302E35" w:rsidTr="001676E8">
        <w:trPr>
          <w:gridBefore w:val="1"/>
          <w:wBefore w:w="35" w:type="dxa"/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02E35" w:rsidRDefault="008810B0" w:rsidP="008810B0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br/>
              <w:t>Imposed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02E35" w:rsidRDefault="008810B0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02E35" w:rsidRDefault="008810B0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02E35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02E35" w:rsidRDefault="00C30782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Penalty</w:t>
            </w:r>
            <w:r w:rsidR="008810B0" w:rsidRPr="00302E35">
              <w:rPr>
                <w:rFonts w:ascii="Arial" w:hAnsi="Arial" w:cs="Arial"/>
                <w:b/>
                <w:sz w:val="20"/>
              </w:rPr>
              <w:t xml:space="preserve"> Due</w:t>
            </w:r>
            <w:r w:rsidR="008810B0" w:rsidRPr="00302E35">
              <w:rPr>
                <w:rFonts w:ascii="Arial" w:hAnsi="Arial" w:cs="Arial"/>
                <w:b/>
                <w:sz w:val="20"/>
              </w:rPr>
              <w:br/>
            </w:r>
            <w:r w:rsidR="008810B0" w:rsidRPr="00302E35">
              <w:rPr>
                <w:rFonts w:ascii="Arial" w:hAnsi="Arial" w:cs="Arial"/>
                <w:b/>
                <w:sz w:val="16"/>
                <w:szCs w:val="16"/>
              </w:rPr>
              <w:t>(Inc. costs etc)</w:t>
            </w:r>
          </w:p>
        </w:tc>
      </w:tr>
      <w:tr w:rsidR="008810B0" w:rsidRPr="003257E2" w:rsidTr="001676E8">
        <w:trPr>
          <w:gridBefore w:val="1"/>
          <w:wBefore w:w="35" w:type="dxa"/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8810B0" w:rsidRPr="003257E2" w:rsidTr="001676E8">
        <w:trPr>
          <w:gridBefore w:val="1"/>
          <w:wBefore w:w="35" w:type="dxa"/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10B0" w:rsidRPr="003257E2" w:rsidTr="001676E8">
        <w:trPr>
          <w:gridBefore w:val="1"/>
          <w:wBefore w:w="35" w:type="dxa"/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10B0" w:rsidRPr="003257E2" w:rsidTr="001676E8">
        <w:trPr>
          <w:gridBefore w:val="1"/>
          <w:wBefore w:w="35" w:type="dxa"/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F87887" w:rsidTr="001676E8">
        <w:trPr>
          <w:gridBefore w:val="1"/>
          <w:wBefore w:w="35" w:type="dxa"/>
          <w:trHeight w:val="357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810B0" w:rsidRPr="008810B0" w:rsidRDefault="00C30782" w:rsidP="00AB55E9">
            <w:pPr>
              <w:tabs>
                <w:tab w:val="left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are d</w:t>
            </w:r>
            <w:r w:rsidR="008810B0">
              <w:rPr>
                <w:rFonts w:ascii="Arial" w:hAnsi="Arial" w:cs="Arial"/>
                <w:sz w:val="20"/>
              </w:rPr>
              <w:t>isqualified from holding or obtaining a driver’s licence commencing</w:t>
            </w:r>
            <w:r>
              <w:rPr>
                <w:rFonts w:ascii="Arial" w:hAnsi="Arial" w:cs="Arial"/>
                <w:sz w:val="20"/>
              </w:rPr>
              <w:t xml:space="preserve"> on </w:t>
            </w:r>
            <w:r w:rsidR="008810B0">
              <w:rPr>
                <w:rFonts w:ascii="Arial" w:hAnsi="Arial" w:cs="Arial"/>
                <w:sz w:val="20"/>
              </w:rPr>
              <w:t xml:space="preserve"> </w:t>
            </w:r>
            <w:r w:rsidR="00217F21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 w:rsidR="00217F21">
              <w:rPr>
                <w:rFonts w:ascii="Arial" w:hAnsi="Arial" w:cs="Arial"/>
                <w:sz w:val="20"/>
              </w:rPr>
            </w:r>
            <w:r w:rsidR="00217F21"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217F21"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ab/>
            </w:r>
            <w:r w:rsidR="008810B0">
              <w:rPr>
                <w:rFonts w:ascii="Arial" w:hAnsi="Arial" w:cs="Arial"/>
                <w:sz w:val="20"/>
              </w:rPr>
              <w:t xml:space="preserve">and ending </w:t>
            </w:r>
            <w:r>
              <w:rPr>
                <w:rFonts w:ascii="Arial" w:hAnsi="Arial" w:cs="Arial"/>
                <w:sz w:val="20"/>
              </w:rPr>
              <w:t xml:space="preserve">at </w:t>
            </w:r>
            <w:r w:rsidR="008810B0">
              <w:rPr>
                <w:rFonts w:ascii="Arial" w:hAnsi="Arial" w:cs="Arial"/>
                <w:sz w:val="20"/>
              </w:rPr>
              <w:t xml:space="preserve">midnight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="00217F21"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 w:rsidR="00217F21">
              <w:rPr>
                <w:rFonts w:ascii="Arial" w:hAnsi="Arial" w:cs="Arial"/>
                <w:sz w:val="20"/>
              </w:rPr>
            </w:r>
            <w:r w:rsidR="00217F21"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217F21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AB55E9" w:rsidRPr="00F87887" w:rsidTr="001676E8">
        <w:trPr>
          <w:gridBefore w:val="1"/>
          <w:wBefore w:w="35" w:type="dxa"/>
          <w:trHeight w:val="357"/>
        </w:trPr>
        <w:tc>
          <w:tcPr>
            <w:tcW w:w="11023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5E9" w:rsidRPr="00AB55E9" w:rsidRDefault="00AB55E9" w:rsidP="00AB55E9">
            <w:pPr>
              <w:tabs>
                <w:tab w:val="left" w:pos="709"/>
                <w:tab w:val="left" w:pos="7980"/>
              </w:tabs>
              <w:spacing w:before="60" w:after="60"/>
              <w:ind w:left="709" w:hanging="709"/>
              <w:jc w:val="left"/>
              <w:rPr>
                <w:rFonts w:ascii="Arial" w:hAnsi="Arial" w:cs="Arial"/>
                <w:b/>
                <w:sz w:val="22"/>
              </w:rPr>
            </w:pPr>
            <w:r w:rsidRPr="00AB55E9">
              <w:rPr>
                <w:rFonts w:ascii="Arial" w:hAnsi="Arial" w:cs="Arial"/>
                <w:b/>
                <w:sz w:val="22"/>
              </w:rPr>
              <w:t>NOTE</w:t>
            </w:r>
          </w:p>
          <w:p w:rsidR="00AB55E9" w:rsidRDefault="00AB55E9" w:rsidP="00AB55E9">
            <w:pPr>
              <w:tabs>
                <w:tab w:val="left" w:pos="798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must not, under any circumstances drive any form of motor vehicle on a road or street (or any place to which the public have access) during the term of your disqualification.</w:t>
            </w:r>
          </w:p>
          <w:p w:rsidR="00AB55E9" w:rsidRDefault="00AB55E9" w:rsidP="00AB55E9">
            <w:pPr>
              <w:tabs>
                <w:tab w:val="left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810B0">
              <w:rPr>
                <w:rFonts w:ascii="Arial" w:hAnsi="Arial" w:cs="Arial"/>
                <w:b/>
                <w:sz w:val="20"/>
              </w:rPr>
              <w:t>Driving under disqualification is a serious offence for which you can be imprisoned for up to 6 months for a first offence or up to two years for a second. Imprisonment is the penalty most often ordered by the court for this offence.</w:t>
            </w:r>
          </w:p>
        </w:tc>
      </w:tr>
      <w:tr w:rsidR="008810B0" w:rsidRPr="003257E2" w:rsidTr="001676E8">
        <w:trPr>
          <w:gridBefore w:val="1"/>
          <w:wBefore w:w="35" w:type="dxa"/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038" w:rsidRPr="00A87446" w:rsidRDefault="00633038" w:rsidP="00A87446">
            <w:pPr>
              <w:tabs>
                <w:tab w:val="left" w:pos="426"/>
                <w:tab w:val="left" w:pos="453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2"/>
              </w:rPr>
            </w:pPr>
            <w:r w:rsidRPr="00A87446">
              <w:rPr>
                <w:rFonts w:ascii="Arial" w:hAnsi="Arial" w:cs="Arial"/>
                <w:b/>
                <w:sz w:val="22"/>
              </w:rPr>
              <w:t>Payment Advice</w:t>
            </w:r>
          </w:p>
          <w:p w:rsidR="008810B0" w:rsidRPr="00B04571" w:rsidRDefault="00B04571" w:rsidP="00B04571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B04571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 xml:space="preserve">amount is due within 28 days of the date it was imposed. You will need to pay the penalty or enter into a payment arrangement with the </w:t>
            </w:r>
            <w:r w:rsidR="00A4746A">
              <w:rPr>
                <w:rFonts w:ascii="Arial" w:hAnsi="Arial" w:cs="Arial"/>
                <w:sz w:val="20"/>
              </w:rPr>
              <w:t>Chief Recovery Officer of the Fines Enforcement and Recovery Unit.</w:t>
            </w:r>
            <w:r>
              <w:rPr>
                <w:rFonts w:ascii="Arial" w:hAnsi="Arial" w:cs="Arial"/>
                <w:sz w:val="20"/>
              </w:rPr>
              <w:t xml:space="preserve"> For all payment options please contact the Fines Enforcement and Recovery Unit on 1800 659 538</w:t>
            </w:r>
            <w:r w:rsidR="00ED6D5E">
              <w:rPr>
                <w:rFonts w:ascii="Arial" w:hAnsi="Arial" w:cs="Arial"/>
                <w:sz w:val="20"/>
              </w:rPr>
              <w:t xml:space="preserve"> or seek further information from </w:t>
            </w:r>
            <w:r w:rsidR="00ED6D5E" w:rsidRPr="00FD7A00">
              <w:rPr>
                <w:rStyle w:val="Hyperlink"/>
                <w:rFonts w:ascii="Arial" w:hAnsi="Arial" w:cs="Arial"/>
                <w:sz w:val="20"/>
              </w:rPr>
              <w:t>www.fines.sa.gov.au</w:t>
            </w:r>
            <w:r w:rsidRPr="00FD7A00">
              <w:rPr>
                <w:rStyle w:val="Hyperlink"/>
                <w:rFonts w:ascii="Arial" w:hAnsi="Arial" w:cs="Arial"/>
                <w:sz w:val="20"/>
              </w:rPr>
              <w:t>.</w:t>
            </w:r>
          </w:p>
        </w:tc>
      </w:tr>
      <w:tr w:rsidR="008810B0" w:rsidRPr="003257E2" w:rsidTr="001676E8">
        <w:trPr>
          <w:gridBefore w:val="1"/>
          <w:wBefore w:w="35" w:type="dxa"/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038" w:rsidRPr="00A87446" w:rsidRDefault="008810B0" w:rsidP="00AB55E9">
            <w:pPr>
              <w:tabs>
                <w:tab w:val="left" w:pos="426"/>
                <w:tab w:val="left" w:pos="453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 w:rsidRPr="00633038">
              <w:rPr>
                <w:rFonts w:ascii="Arial" w:hAnsi="Arial" w:cs="Arial"/>
                <w:b/>
                <w:sz w:val="20"/>
              </w:rPr>
              <w:t xml:space="preserve">NOTICE TO THE </w:t>
            </w:r>
            <w:r w:rsidRPr="00A87446">
              <w:rPr>
                <w:rFonts w:ascii="Arial" w:hAnsi="Arial" w:cs="Arial"/>
                <w:b/>
                <w:sz w:val="20"/>
              </w:rPr>
              <w:t xml:space="preserve">DEFENDANT </w:t>
            </w:r>
          </w:p>
          <w:p w:rsidR="008810B0" w:rsidRDefault="008810B0" w:rsidP="008810B0">
            <w:pPr>
              <w:tabs>
                <w:tab w:val="left" w:pos="426"/>
                <w:tab w:val="left" w:pos="453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 w:rsidRPr="00633038">
              <w:rPr>
                <w:rFonts w:ascii="Arial" w:hAnsi="Arial" w:cs="Arial"/>
                <w:b/>
                <w:sz w:val="20"/>
              </w:rPr>
              <w:t xml:space="preserve">RE-HEARING  </w:t>
            </w:r>
          </w:p>
          <w:p w:rsidR="00633038" w:rsidRDefault="00633038" w:rsidP="00633038">
            <w:pPr>
              <w:tabs>
                <w:tab w:val="left" w:pos="453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33038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76A of the </w:t>
            </w:r>
            <w:r w:rsidR="00FD20D4">
              <w:rPr>
                <w:rFonts w:ascii="Arial" w:hAnsi="Arial" w:cs="Arial"/>
                <w:i/>
                <w:sz w:val="20"/>
              </w:rPr>
              <w:t>Criminal</w:t>
            </w:r>
            <w:r w:rsidRPr="00633038">
              <w:rPr>
                <w:rFonts w:ascii="Arial" w:hAnsi="Arial" w:cs="Arial"/>
                <w:i/>
                <w:sz w:val="20"/>
              </w:rPr>
              <w:t xml:space="preserve"> Procedure Act</w:t>
            </w:r>
            <w:r w:rsidR="00C30782">
              <w:rPr>
                <w:rFonts w:ascii="Arial" w:hAnsi="Arial" w:cs="Arial"/>
                <w:i/>
                <w:sz w:val="20"/>
              </w:rPr>
              <w:t xml:space="preserve"> 1921 </w:t>
            </w:r>
            <w:r>
              <w:rPr>
                <w:rFonts w:ascii="Arial" w:hAnsi="Arial" w:cs="Arial"/>
                <w:sz w:val="20"/>
              </w:rPr>
              <w:t xml:space="preserve">provides that the Court may, on its own initiative or on the application of any party, set aside a conviction </w:t>
            </w:r>
            <w:r w:rsidR="00C30782">
              <w:rPr>
                <w:rFonts w:ascii="Arial" w:hAnsi="Arial" w:cs="Arial"/>
                <w:sz w:val="20"/>
              </w:rPr>
              <w:t xml:space="preserve">or </w:t>
            </w:r>
            <w:r>
              <w:rPr>
                <w:rFonts w:ascii="Arial" w:hAnsi="Arial" w:cs="Arial"/>
                <w:sz w:val="20"/>
              </w:rPr>
              <w:t>order provided that:</w:t>
            </w:r>
          </w:p>
          <w:p w:rsidR="00633038" w:rsidRDefault="00633038" w:rsidP="00633038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parties consent to have it set aside</w:t>
            </w:r>
          </w:p>
          <w:p w:rsidR="00633038" w:rsidRDefault="00633038" w:rsidP="00B04571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conviction or order was made in error</w:t>
            </w:r>
          </w:p>
          <w:p w:rsidR="00B04571" w:rsidRDefault="00B04571" w:rsidP="00633038">
            <w:pPr>
              <w:numPr>
                <w:ilvl w:val="0"/>
                <w:numId w:val="4"/>
              </w:numPr>
              <w:tabs>
                <w:tab w:val="left" w:pos="284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in the interest of justice to set aside the conviction or order</w:t>
            </w:r>
          </w:p>
          <w:p w:rsidR="00633038" w:rsidRDefault="00633038" w:rsidP="00633038">
            <w:pPr>
              <w:tabs>
                <w:tab w:val="left" w:pos="284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wish to have the conviction or order set aside, you must complete the application for Rehearing (Form 19) and file this application within </w:t>
            </w:r>
            <w:r w:rsidRPr="00633038">
              <w:rPr>
                <w:rFonts w:ascii="Arial" w:hAnsi="Arial" w:cs="Arial"/>
                <w:b/>
                <w:sz w:val="20"/>
              </w:rPr>
              <w:t>14 days</w:t>
            </w:r>
            <w:r>
              <w:rPr>
                <w:rFonts w:ascii="Arial" w:hAnsi="Arial" w:cs="Arial"/>
                <w:sz w:val="20"/>
              </w:rPr>
              <w:t xml:space="preserve"> of the day on which you received th</w:t>
            </w:r>
            <w:r w:rsidR="00DB4B30">
              <w:rPr>
                <w:rFonts w:ascii="Arial" w:hAnsi="Arial" w:cs="Arial"/>
                <w:sz w:val="20"/>
              </w:rPr>
              <w:t>is notice.</w:t>
            </w:r>
            <w:r>
              <w:rPr>
                <w:rFonts w:ascii="Arial" w:hAnsi="Arial" w:cs="Arial"/>
                <w:sz w:val="20"/>
              </w:rPr>
              <w:t xml:space="preserve"> An application for Rehearing can be obtained online at </w:t>
            </w:r>
            <w:hyperlink r:id="rId9" w:history="1">
              <w:r w:rsidRPr="00E81601">
                <w:rPr>
                  <w:rStyle w:val="Hyperlink"/>
                  <w:rFonts w:ascii="Arial" w:hAnsi="Arial" w:cs="Arial"/>
                  <w:sz w:val="20"/>
                </w:rPr>
                <w:t>www.courts.sa.gov.au/ForLawyers/Pages/Magistrates-Court-Criminal-Forms.aspx</w:t>
              </w:r>
            </w:hyperlink>
            <w:r>
              <w:rPr>
                <w:rFonts w:ascii="Arial" w:hAnsi="Arial" w:cs="Arial"/>
                <w:sz w:val="20"/>
              </w:rPr>
              <w:t xml:space="preserve"> or by contacting the Call Centre on (08) 8204 2444.</w:t>
            </w:r>
          </w:p>
          <w:p w:rsidR="00633038" w:rsidRPr="00633038" w:rsidRDefault="00633038" w:rsidP="00A87446">
            <w:pPr>
              <w:tabs>
                <w:tab w:val="left" w:pos="28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do not apply to have the conviction or order set aside within </w:t>
            </w:r>
            <w:r>
              <w:rPr>
                <w:rFonts w:ascii="Arial" w:hAnsi="Arial" w:cs="Arial"/>
                <w:b/>
                <w:sz w:val="20"/>
              </w:rPr>
              <w:t>14 days</w:t>
            </w:r>
            <w:r>
              <w:rPr>
                <w:rFonts w:ascii="Arial" w:hAnsi="Arial" w:cs="Arial"/>
                <w:sz w:val="20"/>
              </w:rPr>
              <w:t xml:space="preserve"> of the receipt of this notice the conviction or order will stand.</w:t>
            </w:r>
          </w:p>
        </w:tc>
      </w:tr>
    </w:tbl>
    <w:p w:rsidR="00F87887" w:rsidRPr="004201E6" w:rsidRDefault="00F87887" w:rsidP="00633038">
      <w:pPr>
        <w:rPr>
          <w:sz w:val="20"/>
        </w:rPr>
      </w:pPr>
    </w:p>
    <w:sectPr w:rsidR="00F87887" w:rsidRPr="004201E6" w:rsidSect="00EA2AED">
      <w:headerReference w:type="even" r:id="rId10"/>
      <w:headerReference w:type="default" r:id="rId11"/>
      <w:footerReference w:type="first" r:id="rId12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92" w:rsidRDefault="00C43192">
      <w:r>
        <w:separator/>
      </w:r>
    </w:p>
  </w:endnote>
  <w:endnote w:type="continuationSeparator" w:id="0">
    <w:p w:rsidR="00C43192" w:rsidRDefault="00C4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846" w:rsidRDefault="00DA3846">
    <w:pPr>
      <w:pStyle w:val="Footer"/>
    </w:pPr>
    <w:proofErr w:type="spellStart"/>
    <w:r w:rsidRPr="00B37BC4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20 December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92" w:rsidRDefault="00C43192">
      <w:r>
        <w:separator/>
      </w:r>
    </w:p>
  </w:footnote>
  <w:footnote w:type="continuationSeparator" w:id="0">
    <w:p w:rsidR="00C43192" w:rsidRDefault="00C4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8C" w:rsidRDefault="00217F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7B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B8C" w:rsidRDefault="00B1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8C" w:rsidRDefault="00B17B8C">
    <w:pPr>
      <w:pStyle w:val="Header"/>
      <w:framePr w:wrap="around" w:vAnchor="text" w:hAnchor="margin" w:xAlign="center" w:y="1"/>
      <w:rPr>
        <w:rStyle w:val="PageNumber"/>
      </w:rPr>
    </w:pPr>
  </w:p>
  <w:p w:rsidR="00B17B8C" w:rsidRDefault="00B17B8C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3BFB"/>
    <w:multiLevelType w:val="hybridMultilevel"/>
    <w:tmpl w:val="D51E9A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192"/>
    <w:rsid w:val="00002F22"/>
    <w:rsid w:val="00004539"/>
    <w:rsid w:val="00036F76"/>
    <w:rsid w:val="000559DB"/>
    <w:rsid w:val="00067FA8"/>
    <w:rsid w:val="00097C3B"/>
    <w:rsid w:val="000A505D"/>
    <w:rsid w:val="000E1614"/>
    <w:rsid w:val="000E2F83"/>
    <w:rsid w:val="000E47A6"/>
    <w:rsid w:val="000F5553"/>
    <w:rsid w:val="00100FE4"/>
    <w:rsid w:val="00101CE5"/>
    <w:rsid w:val="0011063E"/>
    <w:rsid w:val="00112B5C"/>
    <w:rsid w:val="001228E9"/>
    <w:rsid w:val="001254C7"/>
    <w:rsid w:val="00134772"/>
    <w:rsid w:val="00135D38"/>
    <w:rsid w:val="00137837"/>
    <w:rsid w:val="001431DC"/>
    <w:rsid w:val="00143D8E"/>
    <w:rsid w:val="00162AA0"/>
    <w:rsid w:val="001676E8"/>
    <w:rsid w:val="0018558B"/>
    <w:rsid w:val="001C3DA2"/>
    <w:rsid w:val="001C4123"/>
    <w:rsid w:val="001F145D"/>
    <w:rsid w:val="001F22AF"/>
    <w:rsid w:val="00217F21"/>
    <w:rsid w:val="0023772D"/>
    <w:rsid w:val="00237E70"/>
    <w:rsid w:val="0024336D"/>
    <w:rsid w:val="00244811"/>
    <w:rsid w:val="00257D11"/>
    <w:rsid w:val="00261133"/>
    <w:rsid w:val="002667EC"/>
    <w:rsid w:val="00270F12"/>
    <w:rsid w:val="00281D3B"/>
    <w:rsid w:val="002935A9"/>
    <w:rsid w:val="002A21E9"/>
    <w:rsid w:val="002B5405"/>
    <w:rsid w:val="002E1F5A"/>
    <w:rsid w:val="002E3667"/>
    <w:rsid w:val="002F2201"/>
    <w:rsid w:val="00302E35"/>
    <w:rsid w:val="00307955"/>
    <w:rsid w:val="0031445E"/>
    <w:rsid w:val="00317242"/>
    <w:rsid w:val="0032140D"/>
    <w:rsid w:val="00323B75"/>
    <w:rsid w:val="003257E2"/>
    <w:rsid w:val="00336933"/>
    <w:rsid w:val="00341067"/>
    <w:rsid w:val="00350E39"/>
    <w:rsid w:val="003628C9"/>
    <w:rsid w:val="0036565C"/>
    <w:rsid w:val="00370612"/>
    <w:rsid w:val="0037077E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3F6832"/>
    <w:rsid w:val="00400F2B"/>
    <w:rsid w:val="004100B4"/>
    <w:rsid w:val="0041619E"/>
    <w:rsid w:val="004201E6"/>
    <w:rsid w:val="00465426"/>
    <w:rsid w:val="00472BFD"/>
    <w:rsid w:val="00494145"/>
    <w:rsid w:val="004B6B8D"/>
    <w:rsid w:val="004B724F"/>
    <w:rsid w:val="004C5114"/>
    <w:rsid w:val="004D0BE7"/>
    <w:rsid w:val="004E2589"/>
    <w:rsid w:val="004E6E00"/>
    <w:rsid w:val="004F25F2"/>
    <w:rsid w:val="0050714D"/>
    <w:rsid w:val="00514510"/>
    <w:rsid w:val="005350E4"/>
    <w:rsid w:val="00547637"/>
    <w:rsid w:val="00586143"/>
    <w:rsid w:val="00591321"/>
    <w:rsid w:val="005931BF"/>
    <w:rsid w:val="005939DF"/>
    <w:rsid w:val="005A4DD5"/>
    <w:rsid w:val="005A7ED7"/>
    <w:rsid w:val="005B448D"/>
    <w:rsid w:val="005E50ED"/>
    <w:rsid w:val="005F778A"/>
    <w:rsid w:val="00627D26"/>
    <w:rsid w:val="00633038"/>
    <w:rsid w:val="00636E98"/>
    <w:rsid w:val="00643AC1"/>
    <w:rsid w:val="00644BBE"/>
    <w:rsid w:val="00645136"/>
    <w:rsid w:val="0065149E"/>
    <w:rsid w:val="00657428"/>
    <w:rsid w:val="006729C2"/>
    <w:rsid w:val="006945D0"/>
    <w:rsid w:val="006B46B8"/>
    <w:rsid w:val="006C6CF8"/>
    <w:rsid w:val="00701081"/>
    <w:rsid w:val="007232B1"/>
    <w:rsid w:val="00731F5D"/>
    <w:rsid w:val="00737EF6"/>
    <w:rsid w:val="007435FC"/>
    <w:rsid w:val="00747C19"/>
    <w:rsid w:val="007C583E"/>
    <w:rsid w:val="007D6FD0"/>
    <w:rsid w:val="007E53AB"/>
    <w:rsid w:val="007F2AEC"/>
    <w:rsid w:val="00807DBB"/>
    <w:rsid w:val="00811DBE"/>
    <w:rsid w:val="0081539C"/>
    <w:rsid w:val="0083155C"/>
    <w:rsid w:val="00853515"/>
    <w:rsid w:val="008810B0"/>
    <w:rsid w:val="00890AC2"/>
    <w:rsid w:val="00891183"/>
    <w:rsid w:val="008A0B67"/>
    <w:rsid w:val="008A1680"/>
    <w:rsid w:val="008C586F"/>
    <w:rsid w:val="008D0FBC"/>
    <w:rsid w:val="008F7B6C"/>
    <w:rsid w:val="009133C4"/>
    <w:rsid w:val="00916897"/>
    <w:rsid w:val="0093744C"/>
    <w:rsid w:val="009460C1"/>
    <w:rsid w:val="00946E22"/>
    <w:rsid w:val="009606A0"/>
    <w:rsid w:val="00996F99"/>
    <w:rsid w:val="009C351F"/>
    <w:rsid w:val="009C4FD6"/>
    <w:rsid w:val="00A06398"/>
    <w:rsid w:val="00A0783A"/>
    <w:rsid w:val="00A4746A"/>
    <w:rsid w:val="00A5020D"/>
    <w:rsid w:val="00A5673F"/>
    <w:rsid w:val="00A61BF9"/>
    <w:rsid w:val="00A76125"/>
    <w:rsid w:val="00A87446"/>
    <w:rsid w:val="00AA448E"/>
    <w:rsid w:val="00AB55E9"/>
    <w:rsid w:val="00AC6F85"/>
    <w:rsid w:val="00AD3670"/>
    <w:rsid w:val="00AD4DC3"/>
    <w:rsid w:val="00AE5185"/>
    <w:rsid w:val="00B04571"/>
    <w:rsid w:val="00B0672F"/>
    <w:rsid w:val="00B17B8C"/>
    <w:rsid w:val="00B266BB"/>
    <w:rsid w:val="00B33C4F"/>
    <w:rsid w:val="00B41E4E"/>
    <w:rsid w:val="00B546FA"/>
    <w:rsid w:val="00B67589"/>
    <w:rsid w:val="00B70E4D"/>
    <w:rsid w:val="00B71488"/>
    <w:rsid w:val="00B774F3"/>
    <w:rsid w:val="00BA1672"/>
    <w:rsid w:val="00BC60BF"/>
    <w:rsid w:val="00BE64AA"/>
    <w:rsid w:val="00BF2C92"/>
    <w:rsid w:val="00BF5D69"/>
    <w:rsid w:val="00C00A0C"/>
    <w:rsid w:val="00C070FE"/>
    <w:rsid w:val="00C1655E"/>
    <w:rsid w:val="00C30782"/>
    <w:rsid w:val="00C43192"/>
    <w:rsid w:val="00C5047E"/>
    <w:rsid w:val="00C560A7"/>
    <w:rsid w:val="00C6014F"/>
    <w:rsid w:val="00CD1DDD"/>
    <w:rsid w:val="00CE541F"/>
    <w:rsid w:val="00CE7728"/>
    <w:rsid w:val="00D03616"/>
    <w:rsid w:val="00D05DA4"/>
    <w:rsid w:val="00D06AA8"/>
    <w:rsid w:val="00D12818"/>
    <w:rsid w:val="00D15092"/>
    <w:rsid w:val="00D21D57"/>
    <w:rsid w:val="00D31D72"/>
    <w:rsid w:val="00D35CEF"/>
    <w:rsid w:val="00D42C37"/>
    <w:rsid w:val="00D85CBF"/>
    <w:rsid w:val="00DA3846"/>
    <w:rsid w:val="00DA40A3"/>
    <w:rsid w:val="00DB4B30"/>
    <w:rsid w:val="00DC0BED"/>
    <w:rsid w:val="00DC131C"/>
    <w:rsid w:val="00DE0D5F"/>
    <w:rsid w:val="00DE4BE3"/>
    <w:rsid w:val="00E0767F"/>
    <w:rsid w:val="00E1127F"/>
    <w:rsid w:val="00E22682"/>
    <w:rsid w:val="00E46FA2"/>
    <w:rsid w:val="00EA2456"/>
    <w:rsid w:val="00EA2AED"/>
    <w:rsid w:val="00EC15D5"/>
    <w:rsid w:val="00EC6F4D"/>
    <w:rsid w:val="00ED407F"/>
    <w:rsid w:val="00ED6D5E"/>
    <w:rsid w:val="00EF18FE"/>
    <w:rsid w:val="00F0254B"/>
    <w:rsid w:val="00F10F84"/>
    <w:rsid w:val="00F22CE1"/>
    <w:rsid w:val="00F31179"/>
    <w:rsid w:val="00F3168E"/>
    <w:rsid w:val="00F3500E"/>
    <w:rsid w:val="00F37FAE"/>
    <w:rsid w:val="00F44F7F"/>
    <w:rsid w:val="00F56EDC"/>
    <w:rsid w:val="00F7694E"/>
    <w:rsid w:val="00F87199"/>
    <w:rsid w:val="00F87887"/>
    <w:rsid w:val="00F96A3D"/>
    <w:rsid w:val="00FA52F2"/>
    <w:rsid w:val="00FB2827"/>
    <w:rsid w:val="00FB3AC2"/>
    <w:rsid w:val="00FC2846"/>
    <w:rsid w:val="00FC4F61"/>
    <w:rsid w:val="00FD15E8"/>
    <w:rsid w:val="00FD20D4"/>
    <w:rsid w:val="00FD72E5"/>
    <w:rsid w:val="00FD7A00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F5FC-C1D4-4B1E-98BE-241E25F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7F2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F21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217F21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217F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7F21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rsid w:val="00217F21"/>
    <w:pPr>
      <w:spacing w:after="120"/>
      <w:ind w:left="567" w:hanging="567"/>
    </w:pPr>
  </w:style>
  <w:style w:type="paragraph" w:styleId="ListNumber">
    <w:name w:val="List Number"/>
    <w:basedOn w:val="Normal"/>
    <w:rsid w:val="00217F21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sa.gov.au/ForLawyers/Pages/Magistrates-Court-Criminal-Forms.asp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18%20-%20Notice%20of%20Penal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18 - Notice of Penalty.dot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3217</CharactersWithSpaces>
  <SharedDoc>false</SharedDoc>
  <HLinks>
    <vt:vector size="12" baseType="variant">
      <vt:variant>
        <vt:i4>3735587</vt:i4>
      </vt:variant>
      <vt:variant>
        <vt:i4>120</vt:i4>
      </vt:variant>
      <vt:variant>
        <vt:i4>0</vt:i4>
      </vt:variant>
      <vt:variant>
        <vt:i4>5</vt:i4>
      </vt:variant>
      <vt:variant>
        <vt:lpwstr>http://www.courts.sa.gov.au/ForLawyers/Pages/Magistrates-Court-Criminal-Forms.aspx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2013-12-17T03:54:00Z</cp:lastPrinted>
  <dcterms:created xsi:type="dcterms:W3CDTF">2020-09-22T01:18:00Z</dcterms:created>
  <dcterms:modified xsi:type="dcterms:W3CDTF">2020-09-22T01:18:00Z</dcterms:modified>
</cp:coreProperties>
</file>